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BD00B" w14:textId="77777777" w:rsidR="00C94BD7" w:rsidRDefault="00C94BD7" w:rsidP="003E3814">
      <w:pPr>
        <w:tabs>
          <w:tab w:val="left" w:pos="5387"/>
        </w:tabs>
        <w:rPr>
          <w:rFonts w:ascii="HelveticaNeueLT Std" w:hAnsi="HelveticaNeueLT Std"/>
          <w:sz w:val="20"/>
          <w:szCs w:val="20"/>
          <w:lang w:val="fr-BE"/>
        </w:rPr>
      </w:pPr>
    </w:p>
    <w:p w14:paraId="5BB8FFE0" w14:textId="4ADFC49C" w:rsidR="0067508E" w:rsidRPr="00B76424" w:rsidRDefault="00335BBE" w:rsidP="003E3814">
      <w:pPr>
        <w:tabs>
          <w:tab w:val="left" w:pos="5387"/>
        </w:tabs>
        <w:rPr>
          <w:rFonts w:ascii="HelveticaNeueLT Std" w:hAnsi="HelveticaNeueLT Std"/>
          <w:sz w:val="20"/>
          <w:szCs w:val="20"/>
          <w:lang w:val="en-GB"/>
        </w:rPr>
      </w:pPr>
      <w:proofErr w:type="spellStart"/>
      <w:r w:rsidRPr="00B76424">
        <w:rPr>
          <w:rFonts w:ascii="HelveticaNeueLT Std" w:hAnsi="HelveticaNeueLT Std"/>
          <w:sz w:val="20"/>
          <w:szCs w:val="20"/>
          <w:lang w:val="en-GB"/>
        </w:rPr>
        <w:t>C</w:t>
      </w:r>
      <w:r w:rsidR="00886A98" w:rsidRPr="00B76424">
        <w:rPr>
          <w:rFonts w:ascii="HelveticaNeueLT Std" w:hAnsi="HelveticaNeueLT Std"/>
          <w:sz w:val="20"/>
          <w:szCs w:val="20"/>
          <w:lang w:val="en-GB"/>
        </w:rPr>
        <w:t>lr</w:t>
      </w:r>
      <w:proofErr w:type="spellEnd"/>
      <w:r w:rsidRPr="00B76424">
        <w:rPr>
          <w:rFonts w:ascii="HelveticaNeueLT Std" w:hAnsi="HelveticaNeueLT Std"/>
          <w:sz w:val="20"/>
          <w:szCs w:val="20"/>
          <w:lang w:val="en-GB"/>
        </w:rPr>
        <w:t xml:space="preserve"> n° </w:t>
      </w:r>
      <w:r w:rsidR="008768F3" w:rsidRPr="00B76424">
        <w:rPr>
          <w:rFonts w:ascii="HelveticaNeueLT Std" w:hAnsi="HelveticaNeueLT Std"/>
          <w:sz w:val="20"/>
          <w:szCs w:val="20"/>
          <w:lang w:val="en-GB"/>
        </w:rPr>
        <w:t>45</w:t>
      </w:r>
      <w:r w:rsidRPr="00B76424">
        <w:rPr>
          <w:rFonts w:ascii="HelveticaNeueLT Std" w:hAnsi="HelveticaNeueLT Std"/>
          <w:sz w:val="20"/>
          <w:szCs w:val="20"/>
          <w:lang w:val="en-GB"/>
        </w:rPr>
        <w:t>/</w:t>
      </w:r>
      <w:r w:rsidR="005A18B6" w:rsidRPr="00B76424">
        <w:rPr>
          <w:rFonts w:ascii="HelveticaNeueLT Std" w:hAnsi="HelveticaNeueLT Std"/>
          <w:sz w:val="20"/>
          <w:szCs w:val="20"/>
          <w:lang w:val="en-GB"/>
        </w:rPr>
        <w:t>20</w:t>
      </w:r>
      <w:r w:rsidR="0067508E" w:rsidRPr="00B76424">
        <w:rPr>
          <w:rFonts w:ascii="HelveticaNeueLT Std" w:hAnsi="HelveticaNeueLT Std"/>
          <w:sz w:val="20"/>
          <w:szCs w:val="20"/>
          <w:lang w:val="en-GB"/>
        </w:rPr>
        <w:t xml:space="preserve"> </w:t>
      </w:r>
      <w:r w:rsidR="0067508E" w:rsidRPr="00B76424">
        <w:rPr>
          <w:rFonts w:ascii="HelveticaNeueLT Std" w:hAnsi="HelveticaNeueLT Std"/>
          <w:sz w:val="20"/>
          <w:szCs w:val="20"/>
          <w:lang w:val="en-GB"/>
        </w:rPr>
        <w:tab/>
        <w:t>Brussels,</w:t>
      </w:r>
      <w:r w:rsidR="00027F84" w:rsidRPr="00B76424">
        <w:rPr>
          <w:rFonts w:ascii="HelveticaNeueLT Std" w:hAnsi="HelveticaNeueLT Std"/>
          <w:sz w:val="20"/>
          <w:szCs w:val="20"/>
          <w:lang w:val="en-GB"/>
        </w:rPr>
        <w:t xml:space="preserve"> </w:t>
      </w:r>
      <w:r w:rsidR="008768F3" w:rsidRPr="00B76424">
        <w:rPr>
          <w:rFonts w:ascii="HelveticaNeueLT Std" w:hAnsi="HelveticaNeueLT Std"/>
          <w:sz w:val="20"/>
          <w:szCs w:val="20"/>
          <w:lang w:val="en-GB"/>
        </w:rPr>
        <w:t>24 February 2020</w:t>
      </w:r>
    </w:p>
    <w:p w14:paraId="0BAF1B0E" w14:textId="77777777" w:rsidR="00335BBE" w:rsidRPr="00B76424" w:rsidRDefault="00335BBE">
      <w:pPr>
        <w:rPr>
          <w:rFonts w:ascii="HelveticaNeueLT Std" w:hAnsi="HelveticaNeueLT Std"/>
          <w:sz w:val="20"/>
          <w:szCs w:val="20"/>
          <w:lang w:val="en-GB"/>
        </w:rPr>
      </w:pPr>
    </w:p>
    <w:p w14:paraId="57AD933E" w14:textId="24531655" w:rsidR="001D134A" w:rsidRPr="009A3E76" w:rsidRDefault="001D134A">
      <w:pPr>
        <w:rPr>
          <w:rFonts w:ascii="HelveticaNeueLT Std Med" w:hAnsi="HelveticaNeueLT Std Med"/>
          <w:b/>
          <w:sz w:val="20"/>
          <w:szCs w:val="20"/>
        </w:rPr>
      </w:pPr>
      <w:r w:rsidRPr="009A3E76">
        <w:rPr>
          <w:rFonts w:ascii="HelveticaNeueLT Std Med" w:hAnsi="HelveticaNeueLT Std Med"/>
          <w:b/>
          <w:sz w:val="20"/>
          <w:szCs w:val="20"/>
        </w:rPr>
        <w:t>To the</w:t>
      </w:r>
      <w:r w:rsidR="008768F3">
        <w:rPr>
          <w:rFonts w:ascii="HelveticaNeueLT Std Med" w:hAnsi="HelveticaNeueLT Std Med"/>
          <w:b/>
          <w:sz w:val="20"/>
          <w:szCs w:val="20"/>
        </w:rPr>
        <w:t xml:space="preserve"> EPF Press Contacts</w:t>
      </w:r>
      <w:r w:rsidRPr="009A3E76">
        <w:rPr>
          <w:rFonts w:ascii="HelveticaNeueLT Std Med" w:hAnsi="HelveticaNeueLT Std Med"/>
          <w:b/>
          <w:sz w:val="20"/>
          <w:szCs w:val="20"/>
        </w:rPr>
        <w:t xml:space="preserve"> </w:t>
      </w:r>
    </w:p>
    <w:p w14:paraId="6EDBB6B3" w14:textId="77777777" w:rsidR="0067508E" w:rsidRPr="009A3E76" w:rsidRDefault="0067508E" w:rsidP="00CA101A">
      <w:pPr>
        <w:jc w:val="both"/>
        <w:rPr>
          <w:rFonts w:ascii="HelveticaNeueLT Std Blk" w:hAnsi="HelveticaNeueLT Std Blk"/>
          <w:sz w:val="20"/>
          <w:szCs w:val="20"/>
        </w:rPr>
      </w:pPr>
    </w:p>
    <w:tbl>
      <w:tblPr>
        <w:tblStyle w:val="TableGrid"/>
        <w:tblW w:w="0" w:type="auto"/>
        <w:tblCellSpacing w:w="2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none" w:sz="0" w:space="0" w:color="auto"/>
          <w:insideV w:val="none" w:sz="0" w:space="0" w:color="auto"/>
        </w:tblBorders>
        <w:tblLook w:val="04A0" w:firstRow="1" w:lastRow="0" w:firstColumn="1" w:lastColumn="0" w:noHBand="0" w:noVBand="1"/>
      </w:tblPr>
      <w:tblGrid>
        <w:gridCol w:w="8520"/>
      </w:tblGrid>
      <w:tr w:rsidR="0067508E" w:rsidRPr="00723C75" w14:paraId="4DB2D4DF" w14:textId="77777777" w:rsidTr="007E05F4">
        <w:trPr>
          <w:tblCellSpacing w:w="20" w:type="dxa"/>
        </w:trPr>
        <w:tc>
          <w:tcPr>
            <w:tcW w:w="8440" w:type="dxa"/>
          </w:tcPr>
          <w:p w14:paraId="7DFCE829" w14:textId="77777777" w:rsidR="0067508E" w:rsidRPr="00723C75" w:rsidRDefault="0067508E" w:rsidP="0067508E">
            <w:pPr>
              <w:jc w:val="both"/>
              <w:rPr>
                <w:rFonts w:ascii="HelveticaNeueLT Std Blk" w:hAnsi="HelveticaNeueLT Std Blk"/>
                <w:sz w:val="22"/>
                <w:szCs w:val="20"/>
              </w:rPr>
            </w:pPr>
          </w:p>
          <w:p w14:paraId="02493640" w14:textId="6F6F0C97" w:rsidR="00886A98" w:rsidRPr="008768F3" w:rsidRDefault="00AE0748" w:rsidP="008768F3">
            <w:pPr>
              <w:spacing w:after="160" w:line="259" w:lineRule="auto"/>
              <w:jc w:val="both"/>
              <w:rPr>
                <w:rFonts w:ascii="HelveticaNeueLT Std Med" w:hAnsi="HelveticaNeueLT Std Med"/>
                <w:b/>
                <w:sz w:val="22"/>
                <w:szCs w:val="20"/>
              </w:rPr>
            </w:pPr>
            <w:r>
              <w:rPr>
                <w:rFonts w:ascii="HelveticaNeueLT Std Med" w:hAnsi="HelveticaNeueLT Std Med"/>
                <w:b/>
                <w:sz w:val="22"/>
                <w:szCs w:val="20"/>
              </w:rPr>
              <w:t xml:space="preserve">Press Release: </w:t>
            </w:r>
            <w:r w:rsidR="008768F3" w:rsidRPr="008768F3">
              <w:rPr>
                <w:rFonts w:ascii="HelveticaNeueLT Std Med" w:hAnsi="HelveticaNeueLT Std Med"/>
                <w:b/>
                <w:sz w:val="22"/>
                <w:szCs w:val="20"/>
              </w:rPr>
              <w:t>The European Panel Federation (EPF) publishes its Position Paper on the European Green Deal</w:t>
            </w:r>
          </w:p>
        </w:tc>
      </w:tr>
    </w:tbl>
    <w:p w14:paraId="609D3B84" w14:textId="77777777" w:rsidR="006D3AC3" w:rsidRPr="009A3E76" w:rsidRDefault="006D3AC3" w:rsidP="00CA101A">
      <w:pPr>
        <w:jc w:val="both"/>
        <w:rPr>
          <w:rFonts w:ascii="HelveticaNeueLT Std" w:hAnsi="HelveticaNeueLT Std"/>
          <w:sz w:val="20"/>
          <w:szCs w:val="20"/>
        </w:rPr>
      </w:pPr>
    </w:p>
    <w:p w14:paraId="1D905330" w14:textId="77777777" w:rsidR="00B76424" w:rsidRDefault="00B76424" w:rsidP="00B76424">
      <w:pPr>
        <w:rPr>
          <w:rFonts w:ascii="HelveticaNeueLT Std" w:hAnsi="HelveticaNeueLT Std"/>
          <w:sz w:val="20"/>
          <w:szCs w:val="20"/>
        </w:rPr>
      </w:pPr>
    </w:p>
    <w:p w14:paraId="61551899" w14:textId="77777777" w:rsidR="00984C6C" w:rsidRDefault="00984C6C" w:rsidP="00984C6C">
      <w:pPr>
        <w:rPr>
          <w:rFonts w:ascii="HelveticaNeueLT Std" w:hAnsi="HelveticaNeueLT Std"/>
          <w:sz w:val="20"/>
          <w:szCs w:val="20"/>
        </w:rPr>
      </w:pPr>
      <w:r w:rsidRPr="002C2370">
        <w:rPr>
          <w:rFonts w:ascii="HelveticaNeueLT Std" w:hAnsi="HelveticaNeueLT Std"/>
          <w:sz w:val="20"/>
          <w:szCs w:val="20"/>
        </w:rPr>
        <w:t xml:space="preserve">Dear </w:t>
      </w:r>
      <w:r>
        <w:rPr>
          <w:rFonts w:ascii="HelveticaNeueLT Std" w:hAnsi="HelveticaNeueLT Std"/>
          <w:sz w:val="20"/>
          <w:szCs w:val="20"/>
        </w:rPr>
        <w:t>Press Contact,</w:t>
      </w:r>
    </w:p>
    <w:p w14:paraId="3C353C3F" w14:textId="77777777" w:rsidR="00984C6C" w:rsidRDefault="00984C6C" w:rsidP="003F062A">
      <w:pPr>
        <w:jc w:val="both"/>
        <w:rPr>
          <w:rFonts w:ascii="HelveticaNeueLT Std" w:hAnsi="HelveticaNeueLT Std"/>
          <w:sz w:val="20"/>
          <w:szCs w:val="20"/>
        </w:rPr>
      </w:pPr>
    </w:p>
    <w:p w14:paraId="06FEA4C7" w14:textId="35F6129F" w:rsidR="00B76424" w:rsidRPr="00B76424" w:rsidRDefault="00B76424" w:rsidP="003F062A">
      <w:pPr>
        <w:jc w:val="both"/>
        <w:rPr>
          <w:rFonts w:ascii="HelveticaNeueLT Std" w:hAnsi="HelveticaNeueLT Std"/>
          <w:sz w:val="20"/>
          <w:szCs w:val="20"/>
        </w:rPr>
      </w:pPr>
      <w:r w:rsidRPr="00B76424">
        <w:rPr>
          <w:rFonts w:ascii="HelveticaNeueLT Std" w:hAnsi="HelveticaNeueLT Std"/>
          <w:sz w:val="20"/>
          <w:szCs w:val="20"/>
        </w:rPr>
        <w:t>Following the European Parliament’s recent declaration of a climate emergency, European Commission President von der Leyen unveiled in December 2019 the European Commission’s plans to achieve climate neutrality in the EU by 2050: the European Green Deal. The Commission President committed herself to deliver the first detailed proposals within the first 100 days in office. In January 2020, the Parliament voted on its Resolution on the Green Deal with a large majority calling for the decarbonisation ambitions to be set to at least 55% reduction of greenhouse gases emissions for 2030. Ahead of the March Plenary session in Strasbourg where the first set of statements will be presented by the European Commission on the Climate Law, the New Circular Economy Action Plan and the EU Industrial Strategy, EPF publishes today its Position Paper on the European Green Deal.</w:t>
      </w:r>
    </w:p>
    <w:p w14:paraId="2A4F9297" w14:textId="77777777" w:rsidR="00B76424" w:rsidRDefault="00B76424" w:rsidP="003F062A">
      <w:pPr>
        <w:jc w:val="both"/>
        <w:rPr>
          <w:rFonts w:ascii="HelveticaNeueLT Std" w:hAnsi="HelveticaNeueLT Std"/>
          <w:sz w:val="20"/>
          <w:szCs w:val="20"/>
        </w:rPr>
      </w:pPr>
    </w:p>
    <w:p w14:paraId="72040E4D" w14:textId="6A571864" w:rsidR="00B76424" w:rsidRPr="00B76424" w:rsidRDefault="00B76424" w:rsidP="003F062A">
      <w:pPr>
        <w:jc w:val="both"/>
        <w:rPr>
          <w:rFonts w:ascii="HelveticaNeueLT Std" w:hAnsi="HelveticaNeueLT Std"/>
          <w:sz w:val="20"/>
          <w:szCs w:val="20"/>
        </w:rPr>
      </w:pPr>
      <w:r w:rsidRPr="00B76424">
        <w:rPr>
          <w:rFonts w:ascii="HelveticaNeueLT Std" w:hAnsi="HelveticaNeueLT Std"/>
          <w:sz w:val="20"/>
          <w:szCs w:val="20"/>
        </w:rPr>
        <w:t xml:space="preserve">The Position Paper presents the priorities and demands of the wood-based panels industry with concrete proposals to stimulate the sector in line with the objectives of a circular and innovative economy as set by the guidelines of the European Green Deal. More specifically, the Paper presents a set of four concrete proposals to help the wood-based panels industry to contribute to the goals of the Green Deal: </w:t>
      </w:r>
    </w:p>
    <w:p w14:paraId="20A5A007" w14:textId="77777777" w:rsidR="00B76424" w:rsidRPr="00B76424" w:rsidRDefault="00B76424" w:rsidP="003F062A">
      <w:pPr>
        <w:pStyle w:val="ListParagraph"/>
        <w:numPr>
          <w:ilvl w:val="0"/>
          <w:numId w:val="5"/>
        </w:numPr>
        <w:jc w:val="both"/>
        <w:rPr>
          <w:rFonts w:ascii="HelveticaNeueLT Std" w:hAnsi="HelveticaNeueLT Std"/>
          <w:sz w:val="20"/>
          <w:szCs w:val="20"/>
        </w:rPr>
      </w:pPr>
      <w:r w:rsidRPr="00B76424">
        <w:rPr>
          <w:rFonts w:ascii="HelveticaNeueLT Std" w:hAnsi="HelveticaNeueLT Std"/>
          <w:sz w:val="20"/>
          <w:szCs w:val="20"/>
        </w:rPr>
        <w:t xml:space="preserve">the guarantee of a level playing field and secure supply for wooden raw materials; </w:t>
      </w:r>
    </w:p>
    <w:p w14:paraId="0CF8F05B" w14:textId="77777777" w:rsidR="00B76424" w:rsidRPr="00B76424" w:rsidRDefault="00B76424" w:rsidP="003F062A">
      <w:pPr>
        <w:pStyle w:val="ListParagraph"/>
        <w:numPr>
          <w:ilvl w:val="0"/>
          <w:numId w:val="5"/>
        </w:numPr>
        <w:jc w:val="both"/>
        <w:rPr>
          <w:rFonts w:ascii="HelveticaNeueLT Std" w:hAnsi="HelveticaNeueLT Std"/>
          <w:sz w:val="20"/>
          <w:szCs w:val="20"/>
        </w:rPr>
      </w:pPr>
      <w:r w:rsidRPr="00B76424">
        <w:rPr>
          <w:rFonts w:ascii="HelveticaNeueLT Std" w:hAnsi="HelveticaNeueLT Std"/>
          <w:sz w:val="20"/>
          <w:szCs w:val="20"/>
        </w:rPr>
        <w:t xml:space="preserve">the use of sustainable bio-based products to fight climate change; </w:t>
      </w:r>
    </w:p>
    <w:p w14:paraId="4529954C" w14:textId="77777777" w:rsidR="00B76424" w:rsidRPr="00B76424" w:rsidRDefault="00B76424" w:rsidP="003F062A">
      <w:pPr>
        <w:pStyle w:val="ListParagraph"/>
        <w:numPr>
          <w:ilvl w:val="0"/>
          <w:numId w:val="5"/>
        </w:numPr>
        <w:jc w:val="both"/>
        <w:rPr>
          <w:rFonts w:ascii="HelveticaNeueLT Std" w:hAnsi="HelveticaNeueLT Std"/>
          <w:sz w:val="20"/>
          <w:szCs w:val="20"/>
        </w:rPr>
      </w:pPr>
      <w:r w:rsidRPr="00B76424">
        <w:rPr>
          <w:rFonts w:ascii="HelveticaNeueLT Std" w:hAnsi="HelveticaNeueLT Std"/>
          <w:sz w:val="20"/>
          <w:szCs w:val="20"/>
        </w:rPr>
        <w:t xml:space="preserve">the cascade use of harvested wood products; </w:t>
      </w:r>
    </w:p>
    <w:p w14:paraId="3528CFE7" w14:textId="6FD067FE" w:rsidR="00B76424" w:rsidRPr="00B76424" w:rsidRDefault="00B76424" w:rsidP="003F062A">
      <w:pPr>
        <w:pStyle w:val="ListParagraph"/>
        <w:numPr>
          <w:ilvl w:val="0"/>
          <w:numId w:val="5"/>
        </w:numPr>
        <w:jc w:val="both"/>
        <w:rPr>
          <w:rFonts w:ascii="HelveticaNeueLT Std" w:hAnsi="HelveticaNeueLT Std"/>
          <w:sz w:val="20"/>
          <w:szCs w:val="20"/>
        </w:rPr>
      </w:pPr>
      <w:r w:rsidRPr="00B76424">
        <w:rPr>
          <w:rFonts w:ascii="HelveticaNeueLT Std" w:hAnsi="HelveticaNeueLT Std"/>
          <w:sz w:val="20"/>
          <w:szCs w:val="20"/>
        </w:rPr>
        <w:t>the promotion of climate-friendly products.</w:t>
      </w:r>
    </w:p>
    <w:p w14:paraId="29326839" w14:textId="77777777" w:rsidR="00B76424" w:rsidRPr="00B76424" w:rsidRDefault="00B76424" w:rsidP="003F062A">
      <w:pPr>
        <w:jc w:val="both"/>
        <w:rPr>
          <w:rFonts w:ascii="HelveticaNeueLT Std" w:hAnsi="HelveticaNeueLT Std"/>
          <w:sz w:val="20"/>
          <w:szCs w:val="20"/>
        </w:rPr>
      </w:pPr>
    </w:p>
    <w:p w14:paraId="79BC9C38" w14:textId="77777777" w:rsidR="00B76424" w:rsidRPr="00B76424" w:rsidRDefault="00B76424" w:rsidP="003F062A">
      <w:pPr>
        <w:jc w:val="both"/>
        <w:rPr>
          <w:rFonts w:ascii="HelveticaNeueLT Std" w:hAnsi="HelveticaNeueLT Std"/>
          <w:sz w:val="20"/>
          <w:szCs w:val="20"/>
        </w:rPr>
      </w:pPr>
      <w:r w:rsidRPr="00B76424">
        <w:rPr>
          <w:rFonts w:ascii="HelveticaNeueLT Std" w:hAnsi="HelveticaNeueLT Std"/>
          <w:sz w:val="20"/>
          <w:szCs w:val="20"/>
        </w:rPr>
        <w:t>Wood-based panels are innovative circular products that store carbon throughout their whole life cycle. They are mainly used for furniture, construction, packaging and other everyday applications.  Panels can help substitute energy-intensive fossil-based materials in construction and renovation of the built environment. Wood-based panels are time, cost and energy efficient and offer enormous potential towards delivering the societal change targeted by the European Green Deal.</w:t>
      </w:r>
    </w:p>
    <w:p w14:paraId="77DB0FEC" w14:textId="77777777" w:rsidR="00B76424" w:rsidRDefault="00B76424" w:rsidP="003F062A">
      <w:pPr>
        <w:jc w:val="both"/>
        <w:rPr>
          <w:rFonts w:ascii="HelveticaNeueLT Std" w:hAnsi="HelveticaNeueLT Std"/>
          <w:sz w:val="20"/>
          <w:szCs w:val="20"/>
        </w:rPr>
      </w:pPr>
    </w:p>
    <w:p w14:paraId="0B0112E5" w14:textId="39B1DF94" w:rsidR="0067508E" w:rsidRPr="00B76424" w:rsidRDefault="00B76424" w:rsidP="003F062A">
      <w:pPr>
        <w:jc w:val="both"/>
        <w:rPr>
          <w:rFonts w:ascii="Helvetica" w:hAnsi="Helvetica" w:cs="Helvetica"/>
          <w:b/>
          <w:bCs/>
          <w:i/>
          <w:iCs/>
          <w:color w:val="333333"/>
          <w:sz w:val="20"/>
          <w:szCs w:val="20"/>
          <w:shd w:val="clear" w:color="auto" w:fill="FEFEFE"/>
        </w:rPr>
      </w:pPr>
      <w:r w:rsidRPr="00B76424">
        <w:rPr>
          <w:rFonts w:ascii="HelveticaNeueLT Std" w:hAnsi="HelveticaNeueLT Std"/>
          <w:b/>
          <w:bCs/>
          <w:i/>
          <w:iCs/>
          <w:sz w:val="20"/>
          <w:szCs w:val="20"/>
        </w:rPr>
        <w:t>EPF has members in 25 EU countries and represents the manufacturers of particleboard, MDF, OSB, hardboard, softboard and plywood. The European woo</w:t>
      </w:r>
      <w:bookmarkStart w:id="0" w:name="_GoBack"/>
      <w:bookmarkEnd w:id="0"/>
      <w:r w:rsidRPr="00B76424">
        <w:rPr>
          <w:rFonts w:ascii="HelveticaNeueLT Std" w:hAnsi="HelveticaNeueLT Std"/>
          <w:b/>
          <w:bCs/>
          <w:i/>
          <w:iCs/>
          <w:sz w:val="20"/>
          <w:szCs w:val="20"/>
        </w:rPr>
        <w:t>d-based panels industry has an annual turnover of about 22 billion euros, creates over 100,000 jobs directly and counts more than 5,000 enterprises in Europe</w:t>
      </w:r>
      <w:r w:rsidRPr="00B76424">
        <w:rPr>
          <w:rFonts w:ascii="Calibri" w:eastAsia="Calibri" w:hAnsi="Calibri" w:cs="Times New Roman"/>
          <w:b/>
          <w:bCs/>
          <w:i/>
          <w:iCs/>
          <w:sz w:val="20"/>
          <w:szCs w:val="20"/>
          <w:lang w:val="en-GB"/>
        </w:rPr>
        <w:t xml:space="preserve">. </w:t>
      </w:r>
    </w:p>
    <w:p w14:paraId="433E89CC" w14:textId="77777777" w:rsidR="002C2370" w:rsidRPr="009A3E76" w:rsidRDefault="002C2370" w:rsidP="003F062A">
      <w:pPr>
        <w:jc w:val="both"/>
        <w:rPr>
          <w:rFonts w:ascii="HelveticaNeueLT Std" w:hAnsi="HelveticaNeueLT Std"/>
          <w:sz w:val="20"/>
          <w:szCs w:val="20"/>
        </w:rPr>
      </w:pPr>
    </w:p>
    <w:p w14:paraId="0DF41AB0" w14:textId="05090DD7" w:rsidR="00905BAA" w:rsidRDefault="00984C6C" w:rsidP="00461F1D">
      <w:pPr>
        <w:jc w:val="both"/>
        <w:rPr>
          <w:rFonts w:ascii="HelveticaNeueLT Std" w:hAnsi="HelveticaNeueLT Std"/>
          <w:sz w:val="20"/>
          <w:szCs w:val="20"/>
        </w:rPr>
      </w:pPr>
      <w:r>
        <w:rPr>
          <w:rFonts w:ascii="HelveticaNeueLT Std" w:hAnsi="HelveticaNeueLT Std"/>
          <w:sz w:val="20"/>
          <w:szCs w:val="20"/>
        </w:rPr>
        <w:t>May we please ask you to disseminate this Press Release widely.</w:t>
      </w:r>
    </w:p>
    <w:p w14:paraId="55A4F492" w14:textId="77777777" w:rsidR="00905BAA" w:rsidRDefault="00905BAA" w:rsidP="005A18B6">
      <w:pPr>
        <w:rPr>
          <w:rFonts w:ascii="HelveticaNeueLT Std" w:hAnsi="HelveticaNeueLT Std"/>
          <w:sz w:val="20"/>
          <w:szCs w:val="20"/>
        </w:rPr>
      </w:pPr>
    </w:p>
    <w:p w14:paraId="17085082" w14:textId="68B07C7F" w:rsidR="005A18B6" w:rsidRPr="00B76424" w:rsidRDefault="005A18B6" w:rsidP="005A18B6">
      <w:pPr>
        <w:rPr>
          <w:rFonts w:ascii="HelveticaNeueLT Std" w:hAnsi="HelveticaNeueLT Std"/>
          <w:sz w:val="20"/>
          <w:szCs w:val="20"/>
        </w:rPr>
      </w:pPr>
      <w:r w:rsidRPr="00B76424">
        <w:rPr>
          <w:rFonts w:ascii="HelveticaNeueLT Std" w:hAnsi="HelveticaNeueLT Std"/>
          <w:sz w:val="20"/>
          <w:szCs w:val="20"/>
        </w:rPr>
        <w:t>Kind regards,</w:t>
      </w:r>
    </w:p>
    <w:p w14:paraId="3505376F" w14:textId="77777777" w:rsidR="005A18B6" w:rsidRPr="00B76424" w:rsidRDefault="005A18B6" w:rsidP="005A18B6">
      <w:pPr>
        <w:rPr>
          <w:rFonts w:ascii="HelveticaNeueLT Std" w:hAnsi="HelveticaNeueLT Std"/>
          <w:sz w:val="20"/>
          <w:szCs w:val="20"/>
        </w:rPr>
      </w:pPr>
    </w:p>
    <w:p w14:paraId="242C7D9C" w14:textId="14734168" w:rsidR="005A18B6" w:rsidRPr="00B76424" w:rsidRDefault="001D7FF1" w:rsidP="005A18B6">
      <w:pPr>
        <w:rPr>
          <w:rFonts w:ascii="HelveticaNeueLT Std" w:hAnsi="HelveticaNeueLT Std"/>
          <w:sz w:val="20"/>
          <w:szCs w:val="20"/>
        </w:rPr>
      </w:pPr>
      <w:r w:rsidRPr="00B76424">
        <w:rPr>
          <w:rFonts w:ascii="HelveticaNeueLT Std" w:hAnsi="HelveticaNeueLT Std"/>
          <w:sz w:val="20"/>
          <w:szCs w:val="20"/>
        </w:rPr>
        <w:t>Alexis Kuhl</w:t>
      </w:r>
    </w:p>
    <w:p w14:paraId="104EA066" w14:textId="70CFDBE2" w:rsidR="009653B8" w:rsidRDefault="001D7FF1" w:rsidP="002C2370">
      <w:pPr>
        <w:rPr>
          <w:rFonts w:ascii="HelveticaNeueLT Std" w:hAnsi="HelveticaNeueLT Std"/>
          <w:sz w:val="20"/>
          <w:szCs w:val="20"/>
        </w:rPr>
      </w:pPr>
      <w:r w:rsidRPr="00B76424">
        <w:rPr>
          <w:rFonts w:ascii="HelveticaNeueLT Std" w:hAnsi="HelveticaNeueLT Std"/>
          <w:sz w:val="20"/>
          <w:szCs w:val="20"/>
        </w:rPr>
        <w:t>Climate &amp; Environment Adviser</w:t>
      </w:r>
    </w:p>
    <w:p w14:paraId="336C1CE8" w14:textId="77777777" w:rsidR="009653B8" w:rsidRDefault="009653B8" w:rsidP="002C2370">
      <w:pPr>
        <w:rPr>
          <w:rFonts w:ascii="HelveticaNeueLT Std" w:hAnsi="HelveticaNeueLT Std"/>
          <w:sz w:val="20"/>
          <w:szCs w:val="20"/>
        </w:rPr>
      </w:pPr>
    </w:p>
    <w:p w14:paraId="1CFD7912" w14:textId="77777777" w:rsidR="006D3AC3" w:rsidRPr="009A3E76" w:rsidRDefault="006D3AC3" w:rsidP="003F0B86">
      <w:pPr>
        <w:jc w:val="both"/>
        <w:rPr>
          <w:rFonts w:ascii="HelveticaNeueLT Std" w:hAnsi="HelveticaNeueLT Std"/>
          <w:sz w:val="20"/>
          <w:szCs w:val="20"/>
        </w:rPr>
      </w:pPr>
    </w:p>
    <w:sectPr w:rsidR="006D3AC3" w:rsidRPr="009A3E76" w:rsidSect="0042381B">
      <w:headerReference w:type="default" r:id="rId7"/>
      <w:footerReference w:type="default" r:id="rId8"/>
      <w:pgSz w:w="11900" w:h="16840"/>
      <w:pgMar w:top="226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93816" w14:textId="77777777" w:rsidR="00914229" w:rsidRDefault="00914229" w:rsidP="004D509E">
      <w:r>
        <w:separator/>
      </w:r>
    </w:p>
  </w:endnote>
  <w:endnote w:type="continuationSeparator" w:id="0">
    <w:p w14:paraId="2D13519E" w14:textId="77777777" w:rsidR="00914229" w:rsidRDefault="00914229" w:rsidP="004D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HelveticaNeueLT Std Lt">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CCBF0" w14:textId="77777777" w:rsidR="00066421" w:rsidRDefault="00F01E9C" w:rsidP="004D509E">
    <w:pPr>
      <w:pStyle w:val="Footer"/>
      <w:jc w:val="center"/>
      <w:rPr>
        <w:rFonts w:ascii="Helvetica Neue Light" w:hAnsi="Helvetica Neue Light"/>
        <w:sz w:val="18"/>
        <w:szCs w:val="18"/>
      </w:rPr>
    </w:pPr>
    <w:r w:rsidRPr="00066421">
      <w:rPr>
        <w:noProof/>
      </w:rPr>
      <mc:AlternateContent>
        <mc:Choice Requires="wps">
          <w:drawing>
            <wp:anchor distT="0" distB="0" distL="114300" distR="114300" simplePos="0" relativeHeight="251659264" behindDoc="0" locked="0" layoutInCell="1" allowOverlap="1" wp14:anchorId="51818425" wp14:editId="70B76484">
              <wp:simplePos x="0" y="0"/>
              <wp:positionH relativeFrom="column">
                <wp:align>center</wp:align>
              </wp:positionH>
              <wp:positionV relativeFrom="paragraph">
                <wp:posOffset>39370</wp:posOffset>
              </wp:positionV>
              <wp:extent cx="6656400" cy="3600"/>
              <wp:effectExtent l="0" t="0" r="11430" b="34925"/>
              <wp:wrapNone/>
              <wp:docPr id="3" name="Straight Connector 2"/>
              <wp:cNvGraphicFramePr/>
              <a:graphic xmlns:a="http://schemas.openxmlformats.org/drawingml/2006/main">
                <a:graphicData uri="http://schemas.microsoft.com/office/word/2010/wordprocessingShape">
                  <wps:wsp>
                    <wps:cNvCnPr/>
                    <wps:spPr>
                      <a:xfrm flipH="1" flipV="1">
                        <a:off x="0" y="0"/>
                        <a:ext cx="6656400" cy="3600"/>
                      </a:xfrm>
                      <a:prstGeom prst="line">
                        <a:avLst/>
                      </a:prstGeom>
                      <a:ln w="6350" cmpd="sng">
                        <a:solidFill>
                          <a:srgbClr val="C78A3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4CF41" id="Straight Connector 2" o:spid="_x0000_s1026" style="position:absolute;flip:x 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1pt" to="52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" strokecolor="#c78a34" strokeweight=".5pt"/>
          </w:pict>
        </mc:Fallback>
      </mc:AlternateContent>
    </w:r>
  </w:p>
  <w:p w14:paraId="7258683D" w14:textId="77777777" w:rsidR="00066421" w:rsidRPr="00093818" w:rsidRDefault="00066421" w:rsidP="004D509E">
    <w:pPr>
      <w:pStyle w:val="Footer"/>
      <w:jc w:val="center"/>
      <w:rPr>
        <w:rFonts w:ascii="HelveticaNeueLT Std Lt" w:hAnsi="HelveticaNeueLT Std Lt"/>
        <w:sz w:val="18"/>
        <w:szCs w:val="18"/>
      </w:rPr>
    </w:pPr>
    <w:r w:rsidRPr="00093818">
      <w:rPr>
        <w:rFonts w:ascii="HelveticaNeueLT Std Lt" w:hAnsi="HelveticaNeueLT Std Lt"/>
        <w:sz w:val="18"/>
        <w:szCs w:val="18"/>
      </w:rPr>
      <w:t>European Panel Federation</w:t>
    </w:r>
  </w:p>
  <w:p w14:paraId="44A3D2E3" w14:textId="77777777" w:rsidR="00066421" w:rsidRPr="00093818" w:rsidRDefault="00066421" w:rsidP="004D509E">
    <w:pPr>
      <w:pStyle w:val="Footer"/>
      <w:jc w:val="center"/>
      <w:rPr>
        <w:rFonts w:ascii="HelveticaNeueLT Std Lt" w:hAnsi="HelveticaNeueLT Std Lt"/>
        <w:sz w:val="18"/>
        <w:szCs w:val="18"/>
        <w:lang w:val="en-GB"/>
      </w:rPr>
    </w:pPr>
    <w:r w:rsidRPr="00093818">
      <w:rPr>
        <w:rFonts w:ascii="HelveticaNeueLT Std Lt" w:hAnsi="HelveticaNeueLT Std Lt"/>
        <w:sz w:val="18"/>
        <w:szCs w:val="18"/>
      </w:rPr>
      <w:t xml:space="preserve">Rue </w:t>
    </w:r>
    <w:proofErr w:type="spellStart"/>
    <w:r w:rsidRPr="00093818">
      <w:rPr>
        <w:rFonts w:ascii="HelveticaNeueLT Std Lt" w:hAnsi="HelveticaNeueLT Std Lt"/>
        <w:sz w:val="18"/>
        <w:szCs w:val="18"/>
      </w:rPr>
      <w:t>Montoyer</w:t>
    </w:r>
    <w:proofErr w:type="spellEnd"/>
    <w:r w:rsidRPr="00093818">
      <w:rPr>
        <w:rFonts w:ascii="HelveticaNeueLT Std Lt" w:hAnsi="HelveticaNeueLT Std Lt"/>
        <w:sz w:val="18"/>
        <w:szCs w:val="18"/>
      </w:rPr>
      <w:t xml:space="preserve"> 24</w:t>
    </w:r>
    <w:r w:rsidR="00F01E9C" w:rsidRPr="00093818">
      <w:rPr>
        <w:rFonts w:ascii="HelveticaNeueLT Std Lt" w:hAnsi="HelveticaNeueLT Std Lt"/>
        <w:sz w:val="18"/>
        <w:szCs w:val="18"/>
      </w:rPr>
      <w:t>,</w:t>
    </w:r>
    <w:r w:rsidR="00641438" w:rsidRPr="00093818">
      <w:rPr>
        <w:rFonts w:ascii="HelveticaNeueLT Std Lt" w:hAnsi="HelveticaNeueLT Std Lt"/>
        <w:sz w:val="18"/>
        <w:szCs w:val="18"/>
      </w:rPr>
      <w:t xml:space="preserve"> </w:t>
    </w:r>
    <w:r w:rsidR="00641438" w:rsidRPr="00093818">
      <w:rPr>
        <w:rFonts w:ascii="HelveticaNeueLT Std Lt" w:hAnsi="HelveticaNeueLT Std Lt"/>
        <w:sz w:val="18"/>
        <w:szCs w:val="18"/>
        <w:lang w:val="en-GB"/>
      </w:rPr>
      <w:t>1000 Brussels,</w:t>
    </w:r>
    <w:r w:rsidRPr="00093818">
      <w:rPr>
        <w:rFonts w:ascii="HelveticaNeueLT Std Lt" w:hAnsi="HelveticaNeueLT Std Lt"/>
        <w:sz w:val="18"/>
        <w:szCs w:val="18"/>
        <w:lang w:val="en-GB"/>
      </w:rPr>
      <w:t xml:space="preserve"> Belgium</w:t>
    </w:r>
  </w:p>
  <w:p w14:paraId="5BDE2980" w14:textId="77777777" w:rsidR="00066421" w:rsidRPr="004D5640" w:rsidRDefault="00641438" w:rsidP="004D509E">
    <w:pPr>
      <w:pStyle w:val="Footer"/>
      <w:jc w:val="center"/>
      <w:rPr>
        <w:rStyle w:val="Hyperlink"/>
        <w:rFonts w:ascii="HelveticaNeueLT Std Lt" w:hAnsi="HelveticaNeueLT Std Lt"/>
        <w:sz w:val="18"/>
        <w:szCs w:val="18"/>
        <w:lang w:val="en-GB"/>
      </w:rPr>
    </w:pPr>
    <w:r w:rsidRPr="00093818">
      <w:rPr>
        <w:rFonts w:ascii="HelveticaNeueLT Std Lt" w:hAnsi="HelveticaNeueLT Std Lt"/>
        <w:sz w:val="18"/>
        <w:szCs w:val="18"/>
      </w:rPr>
      <w:t xml:space="preserve">Tel +32 </w:t>
    </w:r>
    <w:r w:rsidR="00F01E9C" w:rsidRPr="00093818">
      <w:rPr>
        <w:rFonts w:ascii="HelveticaNeueLT Std Lt" w:hAnsi="HelveticaNeueLT Std Lt"/>
        <w:sz w:val="18"/>
        <w:szCs w:val="18"/>
      </w:rPr>
      <w:t>2 556 25 89</w:t>
    </w:r>
    <w:r w:rsidRPr="00093818">
      <w:rPr>
        <w:rFonts w:ascii="HelveticaNeueLT Std Lt" w:hAnsi="HelveticaNeueLT Std Lt"/>
        <w:sz w:val="18"/>
        <w:szCs w:val="18"/>
      </w:rPr>
      <w:t xml:space="preserve"> - </w:t>
    </w:r>
    <w:hyperlink r:id="rId1" w:history="1">
      <w:r w:rsidR="00066421" w:rsidRPr="004D5640">
        <w:rPr>
          <w:rStyle w:val="Hyperlink"/>
          <w:rFonts w:ascii="HelveticaNeueLT Std Lt" w:hAnsi="HelveticaNeueLT Std Lt"/>
          <w:sz w:val="18"/>
          <w:szCs w:val="18"/>
          <w:lang w:val="en-GB"/>
        </w:rPr>
        <w:t>info@europanels.org</w:t>
      </w:r>
    </w:hyperlink>
    <w:r w:rsidR="00066421" w:rsidRPr="00093818">
      <w:rPr>
        <w:rFonts w:ascii="HelveticaNeueLT Std Lt" w:hAnsi="HelveticaNeueLT Std Lt"/>
        <w:sz w:val="18"/>
        <w:szCs w:val="18"/>
      </w:rPr>
      <w:t xml:space="preserve"> - </w:t>
    </w:r>
    <w:hyperlink r:id="rId2" w:history="1">
      <w:r w:rsidR="00066421" w:rsidRPr="004D5640">
        <w:rPr>
          <w:rStyle w:val="Hyperlink"/>
          <w:rFonts w:ascii="HelveticaNeueLT Std Lt" w:hAnsi="HelveticaNeueLT Std Lt"/>
          <w:sz w:val="18"/>
          <w:szCs w:val="18"/>
          <w:lang w:val="en-GB"/>
        </w:rPr>
        <w:t>www.europanels.org</w:t>
      </w:r>
    </w:hyperlink>
  </w:p>
  <w:p w14:paraId="74EB07F0" w14:textId="77777777" w:rsidR="004D5640" w:rsidRPr="00604409" w:rsidRDefault="004D5640" w:rsidP="004D5640">
    <w:pPr>
      <w:pStyle w:val="Footer"/>
      <w:jc w:val="center"/>
      <w:rPr>
        <w:rFonts w:ascii="HelveticaNeueLT Std Lt" w:hAnsi="HelveticaNeueLT Std Lt"/>
        <w:sz w:val="18"/>
        <w:szCs w:val="18"/>
      </w:rPr>
    </w:pPr>
    <w:r>
      <w:rPr>
        <w:rFonts w:ascii="HelveticaNeueLT Std Lt" w:hAnsi="HelveticaNeueLT Std Lt"/>
        <w:sz w:val="18"/>
        <w:szCs w:val="18"/>
      </w:rPr>
      <w:t xml:space="preserve">EU Transparency Register: </w:t>
    </w:r>
    <w:r w:rsidRPr="00275661">
      <w:rPr>
        <w:rFonts w:ascii="HelveticaNeueLT Std Lt" w:hAnsi="HelveticaNeueLT Std Lt"/>
        <w:sz w:val="18"/>
        <w:szCs w:val="18"/>
      </w:rPr>
      <w:t xml:space="preserve">572064811767-22 </w:t>
    </w:r>
    <w:r>
      <w:rPr>
        <w:rFonts w:ascii="HelveticaNeueLT Std Lt" w:hAnsi="HelveticaNeueLT Std Lt"/>
        <w:sz w:val="18"/>
        <w:szCs w:val="18"/>
      </w:rPr>
      <w:t>–</w:t>
    </w:r>
    <w:r w:rsidRPr="00275661">
      <w:rPr>
        <w:rFonts w:ascii="HelveticaNeueLT Std Lt" w:hAnsi="HelveticaNeueLT Std Lt"/>
        <w:sz w:val="18"/>
        <w:szCs w:val="18"/>
      </w:rPr>
      <w:t xml:space="preserve"> IBAN: BE33 4268 1660 1</w:t>
    </w:r>
    <w:r w:rsidR="002A728E">
      <w:rPr>
        <w:rFonts w:ascii="HelveticaNeueLT Std Lt" w:hAnsi="HelveticaNeueLT Std Lt"/>
        <w:sz w:val="18"/>
        <w:szCs w:val="18"/>
      </w:rPr>
      <w:t>3</w:t>
    </w:r>
    <w:r w:rsidRPr="00275661">
      <w:rPr>
        <w:rFonts w:ascii="HelveticaNeueLT Std Lt" w:hAnsi="HelveticaNeueLT Std Lt"/>
        <w:sz w:val="18"/>
        <w:szCs w:val="18"/>
      </w:rPr>
      <w:t>4</w:t>
    </w:r>
    <w:r w:rsidR="002A728E">
      <w:rPr>
        <w:rFonts w:ascii="HelveticaNeueLT Std Lt" w:hAnsi="HelveticaNeueLT Std Lt"/>
        <w:sz w:val="18"/>
        <w:szCs w:val="18"/>
      </w:rPr>
      <w:t>6</w:t>
    </w:r>
    <w:r w:rsidRPr="00275661">
      <w:rPr>
        <w:rFonts w:ascii="HelveticaNeueLT Std Lt" w:hAnsi="HelveticaNeueLT Std Lt"/>
        <w:sz w:val="18"/>
        <w:szCs w:val="18"/>
      </w:rPr>
      <w:t xml:space="preserve"> – VAT: BE 0464.722.149</w:t>
    </w:r>
  </w:p>
  <w:p w14:paraId="779C665D" w14:textId="77777777" w:rsidR="004D5640" w:rsidRPr="00093818" w:rsidRDefault="004D5640" w:rsidP="004D509E">
    <w:pPr>
      <w:pStyle w:val="Footer"/>
      <w:jc w:val="center"/>
      <w:rPr>
        <w:rFonts w:ascii="HelveticaNeueLT Std Lt" w:hAnsi="HelveticaNeueLT Std L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4882" w14:textId="77777777" w:rsidR="00914229" w:rsidRDefault="00914229" w:rsidP="004D509E">
      <w:r>
        <w:separator/>
      </w:r>
    </w:p>
  </w:footnote>
  <w:footnote w:type="continuationSeparator" w:id="0">
    <w:p w14:paraId="211EAA16" w14:textId="77777777" w:rsidR="00914229" w:rsidRDefault="00914229" w:rsidP="004D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D7F7" w14:textId="77777777" w:rsidR="00066421" w:rsidRDefault="00066421">
    <w:pPr>
      <w:pStyle w:val="Header"/>
    </w:pPr>
    <w:r w:rsidRPr="004D509E">
      <w:rPr>
        <w:noProof/>
      </w:rPr>
      <w:drawing>
        <wp:anchor distT="0" distB="0" distL="114300" distR="114300" simplePos="0" relativeHeight="251657216" behindDoc="1" locked="0" layoutInCell="1" allowOverlap="1" wp14:anchorId="3752057B" wp14:editId="60A9146D">
          <wp:simplePos x="0" y="0"/>
          <wp:positionH relativeFrom="column">
            <wp:align>center</wp:align>
          </wp:positionH>
          <wp:positionV relativeFrom="paragraph">
            <wp:posOffset>-325596</wp:posOffset>
          </wp:positionV>
          <wp:extent cx="2628000" cy="1314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28000" cy="131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E2DD0"/>
    <w:multiLevelType w:val="hybridMultilevel"/>
    <w:tmpl w:val="944CC2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14848F1"/>
    <w:multiLevelType w:val="hybridMultilevel"/>
    <w:tmpl w:val="27F422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407E13"/>
    <w:multiLevelType w:val="hybridMultilevel"/>
    <w:tmpl w:val="ECE49856"/>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15:restartNumberingAfterBreak="0">
    <w:nsid w:val="778622BE"/>
    <w:multiLevelType w:val="hybridMultilevel"/>
    <w:tmpl w:val="F7E00D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09E"/>
    <w:rsid w:val="00027F84"/>
    <w:rsid w:val="00066421"/>
    <w:rsid w:val="00093818"/>
    <w:rsid w:val="00096DF5"/>
    <w:rsid w:val="000A25C5"/>
    <w:rsid w:val="00155E21"/>
    <w:rsid w:val="001D134A"/>
    <w:rsid w:val="001D39EC"/>
    <w:rsid w:val="001D7FF1"/>
    <w:rsid w:val="00231F38"/>
    <w:rsid w:val="0023498C"/>
    <w:rsid w:val="002A5ADD"/>
    <w:rsid w:val="002A728E"/>
    <w:rsid w:val="002B3891"/>
    <w:rsid w:val="002C2370"/>
    <w:rsid w:val="00335BBE"/>
    <w:rsid w:val="00395C21"/>
    <w:rsid w:val="003D4BD7"/>
    <w:rsid w:val="003E3814"/>
    <w:rsid w:val="003F062A"/>
    <w:rsid w:val="003F0B86"/>
    <w:rsid w:val="0042381B"/>
    <w:rsid w:val="00461F1D"/>
    <w:rsid w:val="004D509E"/>
    <w:rsid w:val="004D5640"/>
    <w:rsid w:val="005233A7"/>
    <w:rsid w:val="005345FC"/>
    <w:rsid w:val="00540C6E"/>
    <w:rsid w:val="00546989"/>
    <w:rsid w:val="005839E3"/>
    <w:rsid w:val="005A18B6"/>
    <w:rsid w:val="005B7442"/>
    <w:rsid w:val="006045F5"/>
    <w:rsid w:val="00635A34"/>
    <w:rsid w:val="00641438"/>
    <w:rsid w:val="00641A40"/>
    <w:rsid w:val="0067508E"/>
    <w:rsid w:val="006D3AC3"/>
    <w:rsid w:val="00704764"/>
    <w:rsid w:val="00723C75"/>
    <w:rsid w:val="007467B9"/>
    <w:rsid w:val="00756609"/>
    <w:rsid w:val="0079217D"/>
    <w:rsid w:val="007E05F4"/>
    <w:rsid w:val="0082427D"/>
    <w:rsid w:val="008768F3"/>
    <w:rsid w:val="00886A98"/>
    <w:rsid w:val="008E7D40"/>
    <w:rsid w:val="00905BAA"/>
    <w:rsid w:val="00914229"/>
    <w:rsid w:val="00926FBD"/>
    <w:rsid w:val="009653B8"/>
    <w:rsid w:val="00966C46"/>
    <w:rsid w:val="009836F0"/>
    <w:rsid w:val="00984C6C"/>
    <w:rsid w:val="009A066D"/>
    <w:rsid w:val="009A3E76"/>
    <w:rsid w:val="009D7612"/>
    <w:rsid w:val="009E5EAF"/>
    <w:rsid w:val="00A47746"/>
    <w:rsid w:val="00A5397C"/>
    <w:rsid w:val="00A96CC9"/>
    <w:rsid w:val="00AE0748"/>
    <w:rsid w:val="00AE6CD0"/>
    <w:rsid w:val="00B26556"/>
    <w:rsid w:val="00B76424"/>
    <w:rsid w:val="00BA4F17"/>
    <w:rsid w:val="00C675A5"/>
    <w:rsid w:val="00C94BD7"/>
    <w:rsid w:val="00CA101A"/>
    <w:rsid w:val="00CB016E"/>
    <w:rsid w:val="00CC2D48"/>
    <w:rsid w:val="00D462C9"/>
    <w:rsid w:val="00E0027D"/>
    <w:rsid w:val="00E2344D"/>
    <w:rsid w:val="00EA2D69"/>
    <w:rsid w:val="00EB7E10"/>
    <w:rsid w:val="00F01E9C"/>
    <w:rsid w:val="00F9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ADDA01"/>
  <w14:defaultImageDpi w14:val="300"/>
  <w15:docId w15:val="{5F7E4053-6576-469D-ABC6-84A1644F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09E"/>
    <w:pPr>
      <w:tabs>
        <w:tab w:val="center" w:pos="4320"/>
        <w:tab w:val="right" w:pos="8640"/>
      </w:tabs>
    </w:pPr>
  </w:style>
  <w:style w:type="character" w:customStyle="1" w:styleId="HeaderChar">
    <w:name w:val="Header Char"/>
    <w:basedOn w:val="DefaultParagraphFont"/>
    <w:link w:val="Header"/>
    <w:uiPriority w:val="99"/>
    <w:rsid w:val="004D509E"/>
  </w:style>
  <w:style w:type="paragraph" w:styleId="Footer">
    <w:name w:val="footer"/>
    <w:basedOn w:val="Normal"/>
    <w:link w:val="FooterChar"/>
    <w:uiPriority w:val="99"/>
    <w:unhideWhenUsed/>
    <w:rsid w:val="004D509E"/>
    <w:pPr>
      <w:tabs>
        <w:tab w:val="center" w:pos="4320"/>
        <w:tab w:val="right" w:pos="8640"/>
      </w:tabs>
    </w:pPr>
  </w:style>
  <w:style w:type="character" w:customStyle="1" w:styleId="FooterChar">
    <w:name w:val="Footer Char"/>
    <w:basedOn w:val="DefaultParagraphFont"/>
    <w:link w:val="Footer"/>
    <w:uiPriority w:val="99"/>
    <w:rsid w:val="004D509E"/>
  </w:style>
  <w:style w:type="paragraph" w:styleId="BalloonText">
    <w:name w:val="Balloon Text"/>
    <w:basedOn w:val="Normal"/>
    <w:link w:val="BalloonTextChar"/>
    <w:uiPriority w:val="99"/>
    <w:semiHidden/>
    <w:unhideWhenUsed/>
    <w:rsid w:val="004D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09E"/>
    <w:rPr>
      <w:rFonts w:ascii="Lucida Grande" w:hAnsi="Lucida Grande" w:cs="Lucida Grande"/>
      <w:sz w:val="18"/>
      <w:szCs w:val="18"/>
    </w:rPr>
  </w:style>
  <w:style w:type="character" w:styleId="Hyperlink">
    <w:name w:val="Hyperlink"/>
    <w:basedOn w:val="DefaultParagraphFont"/>
    <w:uiPriority w:val="99"/>
    <w:unhideWhenUsed/>
    <w:rsid w:val="004D509E"/>
    <w:rPr>
      <w:color w:val="0000FF" w:themeColor="hyperlink"/>
      <w:u w:val="single"/>
    </w:rPr>
  </w:style>
  <w:style w:type="table" w:styleId="TableGrid">
    <w:name w:val="Table Grid"/>
    <w:basedOn w:val="TableNormal"/>
    <w:uiPriority w:val="59"/>
    <w:rsid w:val="0067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370"/>
    <w:pPr>
      <w:ind w:left="720"/>
      <w:contextualSpacing/>
    </w:pPr>
  </w:style>
  <w:style w:type="paragraph" w:customStyle="1" w:styleId="Default">
    <w:name w:val="Default"/>
    <w:basedOn w:val="Normal"/>
    <w:rsid w:val="005A18B6"/>
    <w:pPr>
      <w:autoSpaceDE w:val="0"/>
      <w:autoSpaceDN w:val="0"/>
    </w:pPr>
    <w:rPr>
      <w:rFonts w:ascii="Calibri" w:eastAsiaTheme="minorHAnsi"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0812">
      <w:bodyDiv w:val="1"/>
      <w:marLeft w:val="0"/>
      <w:marRight w:val="0"/>
      <w:marTop w:val="0"/>
      <w:marBottom w:val="0"/>
      <w:divBdr>
        <w:top w:val="none" w:sz="0" w:space="0" w:color="auto"/>
        <w:left w:val="none" w:sz="0" w:space="0" w:color="auto"/>
        <w:bottom w:val="none" w:sz="0" w:space="0" w:color="auto"/>
        <w:right w:val="none" w:sz="0" w:space="0" w:color="auto"/>
      </w:divBdr>
    </w:div>
    <w:div w:id="1472408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uropanels.org/" TargetMode="External"/><Relationship Id="rId1" Type="http://schemas.openxmlformats.org/officeDocument/2006/relationships/hyperlink" Target="mailto:info@europane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ERCEA</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SMITH</dc:creator>
  <cp:keywords/>
  <dc:description/>
  <cp:lastModifiedBy>EPF General Secretariat</cp:lastModifiedBy>
  <cp:revision>4</cp:revision>
  <cp:lastPrinted>2018-11-06T09:14:00Z</cp:lastPrinted>
  <dcterms:created xsi:type="dcterms:W3CDTF">2020-02-24T11:55:00Z</dcterms:created>
  <dcterms:modified xsi:type="dcterms:W3CDTF">2020-02-24T11:57:00Z</dcterms:modified>
</cp:coreProperties>
</file>